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70" w:rsidRPr="00693F8E" w:rsidRDefault="0041727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br/>
      </w:r>
    </w:p>
    <w:p w:rsidR="00417270" w:rsidRPr="00693F8E" w:rsidRDefault="0041727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F8E">
        <w:rPr>
          <w:rFonts w:ascii="Times New Roman" w:hAnsi="Times New Roman" w:cs="Times New Roman"/>
          <w:sz w:val="28"/>
          <w:szCs w:val="28"/>
        </w:rPr>
        <w:t>ПРАВИТЕЛЬСТВО БЕЛГОРОДСКОЙ ОБЛАСТИ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от 24 декабря 2018 г. N 488-пп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НОРМАТИВНЫХ ПРАВОВЫХ АКТОВ ГУБЕРНАТОРА И ПРАВИТЕЛЬСТВА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БЕЛГОРОДСКОЙ ОБЛАСТИ И ПРОЕКТОВ НОРМАТИВНЫХ ПРАВОВЫХ АКТОВ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ГУБЕРНАТОРА И ПРАВИТЕЛЬСТВА БЕЛГОРОДСКОЙ ОБЛАСТИ</w:t>
      </w:r>
    </w:p>
    <w:bookmarkEnd w:id="0"/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5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Белгородской области от 7 мая 2010 года N 338 "О противодействии коррупции в Белгородской области" Правительство Белгородской области постановляет: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Губернатора и Правительства Белгородской области и проектов нормативных правовых актов Губернатора и Правительства Белгородской области (далее - Порядок).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власти, государственных органов области обеспечить соблюдение требований Порядка.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6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14 июля 2008 года N 174-пп "О порядке проведения антикоррупционной экспертизы правовых актов Белгородской области и проектов правовых актов Белгородской области".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4. Контроль за исполнением распоряжения возложить на руководителя Администрации Губернатора Белгородской области </w:t>
      </w: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Губернатор Белгородской области</w:t>
      </w:r>
    </w:p>
    <w:p w:rsidR="00417270" w:rsidRPr="00693F8E" w:rsidRDefault="00417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Е.САВЧЕНКО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7270" w:rsidRPr="00693F8E" w:rsidRDefault="00417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17270" w:rsidRPr="00693F8E" w:rsidRDefault="00417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Правительства Белгородской области</w:t>
      </w:r>
    </w:p>
    <w:p w:rsidR="00417270" w:rsidRPr="00693F8E" w:rsidRDefault="00417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от 24 декабря 2018 года N 488-пп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93F8E">
        <w:rPr>
          <w:rFonts w:ascii="Times New Roman" w:hAnsi="Times New Roman" w:cs="Times New Roman"/>
          <w:sz w:val="28"/>
          <w:szCs w:val="28"/>
        </w:rPr>
        <w:t>ПОРЯДОК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АКТОВ ГУБЕРНАТОРА И ПРАВИТЕЛЬСТВА БЕЛГОРОДСКОЙ ОБЛАСТИ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И ПРОЕКТОВ НОРМАТИВНЫХ ПРАВОВЫХ АКТОВ ГУБЕРНАТОРА</w:t>
      </w:r>
    </w:p>
    <w:p w:rsidR="00417270" w:rsidRPr="00693F8E" w:rsidRDefault="00417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И ПРАВИТЕЛЬСТВА БЕЛГОРОДСКОЙ ОБЛАСТИ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проведения антикоррупционной экспертизы нормативных правовых актов Губернатора и Правительства Белгородской области и проектов нормативных правовых актов Губернатора и Правительства Белгородской области.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Настоящий Порядок применяется также при проведении антикоррупционной экспертизы проектов законов Белгородской области, подготовленных в порядке реализации права законодательной инициативы Губернатора и Правительства Белгородской области в Белгородской областной Думе.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2. Уполномоченным органом, на который возлагается обязанность проведения антикоррупционной экспертизы проектов нормативных правовых актов Губернатора и Правительства Белгородской области, является Администрация Губернатора Белгородской области (далее - уполномоченный орган).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3. Антикоррупционная экспертиза проектов нормативных правовых актов Губернатора и Правительства Белгородской области проводится при проведении правовой экспертизы указанных проектов.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4. Проведение независимой антикоррупционной экспертизы проектов нормативных правовых актов Губернатора и Правительства Белгородской области обеспечивается в соответствии с </w:t>
      </w:r>
      <w:hyperlink r:id="rId7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Губернатора Белгородской области от 19 сентября 2017 года N 82 "Об обеспечении проведения независимой антикоррупционной экспертизы нормативных правовых актов Белгородской области и их проектов".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нормативных правовых актов Губернатора и Правительства Белгородской области и проектов нормативных правовых актов Губернатора и Правительства Белгородской области проводится в соответствии с Федеральным </w:t>
      </w:r>
      <w:hyperlink r:id="rId8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</w:t>
      </w:r>
      <w:r w:rsidRPr="00693F8E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нормативных правовых актов", </w:t>
      </w:r>
      <w:hyperlink r:id="rId9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6. Антикоррупционная экспертиза проектов нормативных правовых актов Губернатора и Правительства Белгородской области проводится в сроки, установленные для проведения правовой экспертизы указанных проектов.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7. При проведении антикоррупционной экспертизы выявляется, имеются ли в проекте </w:t>
      </w: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факторы устраняются органом исполнительной власти, государственным органом, ответственным за подготовку проекта нормативного правового акта Губернатора и Правительства Белгородской области.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Согласование проекта нормативного правового акта Губернатора и Правительства Белгородской области по итогам проведения антикоррупционной экспертизы осуществляется в порядке, установленном </w:t>
      </w:r>
      <w:hyperlink r:id="rId10">
        <w:r w:rsidRPr="00693F8E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93F8E">
        <w:rPr>
          <w:rFonts w:ascii="Times New Roman" w:hAnsi="Times New Roman" w:cs="Times New Roman"/>
          <w:sz w:val="28"/>
          <w:szCs w:val="28"/>
        </w:rPr>
        <w:t xml:space="preserve"> подготовки правовых актов Губернатора и Правительства Белгородской области, утвержденным распоряжением Губернатора Белгородской области от 25 октября 2018 года N 868-р.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8. При подготовке проекта нормативного правового акта Губернатора и Правительства Белгородской области его разработчики должны стремиться к недопущению включения в текст проекта норм, содержащих </w:t>
      </w: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факторы. Отсутствие в разрабатываемом проекте нормативного правового акта </w:t>
      </w: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факторов обеспечивают руководители органов исполнительной власти, государственных органов Белгородской области, их подготовившие.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>9. Антикоррупционная экспертиза нормативных правовых актов Губернатора и Правительства Белгородской области проводится при мониторинге применения данных актов.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В случае если орган исполнительной власти, государственный орган области, осуществляющий мониторинг в рамках своей компетенции, выявляет наличие в нормативном правовом акте Губернатора или Правительства Белгородской области норм, содержащих </w:t>
      </w: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факторы, данный орган исполнительной власти, государственный орган области в течение 5 рабочих дней готовит и направляет в установленном порядке соответствующий проект нормативного правового акта об изменении или признании утратившим силу нормативного правового акта Губернатора или Правительства Белгородской области.</w:t>
      </w:r>
    </w:p>
    <w:p w:rsidR="00417270" w:rsidRPr="00693F8E" w:rsidRDefault="00417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8E">
        <w:rPr>
          <w:rFonts w:ascii="Times New Roman" w:hAnsi="Times New Roman" w:cs="Times New Roman"/>
          <w:sz w:val="28"/>
          <w:szCs w:val="28"/>
        </w:rPr>
        <w:t xml:space="preserve">10. Уполномоченным органом проводится анализ и подготовка </w:t>
      </w:r>
      <w:r w:rsidRPr="00693F8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выявленных </w:t>
      </w:r>
      <w:proofErr w:type="spellStart"/>
      <w:r w:rsidRPr="00693F8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93F8E">
        <w:rPr>
          <w:rFonts w:ascii="Times New Roman" w:hAnsi="Times New Roman" w:cs="Times New Roman"/>
          <w:sz w:val="28"/>
          <w:szCs w:val="28"/>
        </w:rPr>
        <w:t xml:space="preserve"> факторах в проектах нормативных правовых актов Губернатора и Правительства Белгородской области.</w:t>
      </w: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0" w:rsidRPr="00693F8E" w:rsidRDefault="0041727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70E89" w:rsidRPr="00693F8E" w:rsidRDefault="00870E89">
      <w:pPr>
        <w:rPr>
          <w:rFonts w:ascii="Times New Roman" w:hAnsi="Times New Roman" w:cs="Times New Roman"/>
          <w:sz w:val="28"/>
          <w:szCs w:val="28"/>
        </w:rPr>
      </w:pPr>
    </w:p>
    <w:sectPr w:rsidR="00870E89" w:rsidRPr="00693F8E" w:rsidSect="006C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70"/>
    <w:rsid w:val="00417270"/>
    <w:rsid w:val="00693F8E"/>
    <w:rsid w:val="008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BD01-CD08-4B21-B337-92228C1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2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72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72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77FB8AB3039A899D6147BCD5351D6CAE22B35CD69D0611295CA66946203F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176A942AF3D19310F5B64A1C6DD9AB777E5A23E36A0CA824B20900458DC9DB76434912C82721390CA64967E32938004F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176A942AF3D19310F5B64A1C6DD9AB777E5A2343EA2C88E4B20900458DC9DB76434912C82721390CA64967E32938004F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7176A942AF3D19310F5B64A1C6DD9AB777E5A23F3FA0CA8E4B20900458DC9DB76434832CDA7E1297D463966B64C2C61237519E47A0978D85F4E60AF4H" TargetMode="External"/><Relationship Id="rId10" Type="http://schemas.openxmlformats.org/officeDocument/2006/relationships/hyperlink" Target="consultantplus://offline/ref=717176A942AF3D19310F5B64A1C6DD9AB777E5A23F3FA4C78D4B20900458DC9DB76434832CDA7E1297D4649D6B64C2C61237519E47A0978D85F4E60AF4H" TargetMode="External"/><Relationship Id="rId4" Type="http://schemas.openxmlformats.org/officeDocument/2006/relationships/hyperlink" Target="consultantplus://offline/ref=717176A942AF3D19310F4569B7AA8797B77FB8AB3039A899D6147BCD5351D6CAF02B6DC168D77F1095DF30C524659E834024509B47A2959108F4H" TargetMode="External"/><Relationship Id="rId9" Type="http://schemas.openxmlformats.org/officeDocument/2006/relationships/hyperlink" Target="consultantplus://offline/ref=717176A942AF3D19310F4569B7AA8797B17EBBAE373CA899D6147BCD5351D6CAF02B6DC168D77F1090DF30C524659E834024509B47A2959108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2023-02-17T07:05:00Z</dcterms:created>
  <dcterms:modified xsi:type="dcterms:W3CDTF">2023-02-17T07:09:00Z</dcterms:modified>
</cp:coreProperties>
</file>